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D80F" w14:textId="77777777" w:rsidR="00F9140A" w:rsidRPr="00480CA3" w:rsidRDefault="00F9140A" w:rsidP="00F9140A">
      <w:pPr>
        <w:spacing w:after="0" w:line="240" w:lineRule="auto"/>
        <w:jc w:val="center"/>
        <w:rPr>
          <w:rFonts w:ascii="Colonna MT" w:eastAsia="Times New Roman" w:hAnsi="Colonna MT" w:cs="Times New Roman"/>
          <w:b/>
          <w:i/>
          <w:sz w:val="28"/>
          <w:szCs w:val="20"/>
          <w:lang w:eastAsia="fr-FR"/>
        </w:rPr>
      </w:pPr>
      <w:r w:rsidRPr="00480CA3">
        <w:rPr>
          <w:rFonts w:ascii="Colonna MT" w:eastAsia="Times New Roman" w:hAnsi="Colonna MT" w:cs="Times New Roman"/>
          <w:b/>
          <w:i/>
          <w:sz w:val="28"/>
          <w:szCs w:val="20"/>
          <w:lang w:eastAsia="fr-FR"/>
        </w:rPr>
        <w:t>EXTRAIT DU REGISTRE DE DELIBÉRATIONS DU CONSEIL</w:t>
      </w:r>
    </w:p>
    <w:p w14:paraId="5D6AA571" w14:textId="77777777" w:rsidR="00F9140A" w:rsidRPr="00480CA3" w:rsidRDefault="00F9140A" w:rsidP="00F9140A">
      <w:pPr>
        <w:spacing w:after="0" w:line="240" w:lineRule="auto"/>
        <w:jc w:val="center"/>
        <w:rPr>
          <w:rFonts w:ascii="Colonna MT" w:eastAsia="Times New Roman" w:hAnsi="Colonna MT" w:cs="Times New Roman"/>
          <w:b/>
          <w:i/>
          <w:sz w:val="32"/>
          <w:szCs w:val="20"/>
          <w:lang w:eastAsia="fr-FR"/>
        </w:rPr>
      </w:pPr>
      <w:r w:rsidRPr="00480CA3">
        <w:rPr>
          <w:rFonts w:ascii="Colonna MT" w:eastAsia="Times New Roman" w:hAnsi="Colonna MT" w:cs="Times New Roman"/>
          <w:b/>
          <w:i/>
          <w:sz w:val="28"/>
          <w:szCs w:val="20"/>
          <w:lang w:eastAsia="fr-FR"/>
        </w:rPr>
        <w:t>MUNICIPAL DE LA COMMUNE DE OZENX-MONTESTRUCQ</w:t>
      </w:r>
    </w:p>
    <w:p w14:paraId="5F59D2C4" w14:textId="77777777" w:rsidR="00F9140A" w:rsidRPr="00480CA3" w:rsidRDefault="00F9140A" w:rsidP="00F9140A">
      <w:pPr>
        <w:spacing w:after="0" w:line="240" w:lineRule="auto"/>
        <w:rPr>
          <w:rFonts w:ascii="MS Sans Serif" w:eastAsia="Times New Roman" w:hAnsi="MS Sans Serif" w:cs="Times New Roman"/>
          <w:i/>
          <w:lang w:eastAsia="fr-FR"/>
        </w:rPr>
      </w:pPr>
    </w:p>
    <w:p w14:paraId="13F78691" w14:textId="77777777" w:rsidR="00F9140A" w:rsidRPr="00480CA3" w:rsidRDefault="00F9140A" w:rsidP="00F9140A">
      <w:pPr>
        <w:tabs>
          <w:tab w:val="center" w:pos="2410"/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fr-FR"/>
        </w:rPr>
      </w:pPr>
      <w:r w:rsidRPr="00480CA3">
        <w:rPr>
          <w:rFonts w:ascii="MS Sans Serif" w:eastAsia="Times New Roman" w:hAnsi="MS Sans Serif" w:cs="Times New Roman"/>
          <w:bCs/>
          <w:iCs/>
          <w:lang w:eastAsia="fr-FR"/>
        </w:rPr>
        <w:tab/>
      </w:r>
      <w:r w:rsidRPr="00480CA3">
        <w:rPr>
          <w:rFonts w:ascii="Times New Roman" w:eastAsia="Times New Roman" w:hAnsi="Times New Roman" w:cs="Times New Roman"/>
          <w:b/>
          <w:i/>
          <w:u w:val="single"/>
          <w:lang w:eastAsia="fr-FR"/>
        </w:rPr>
        <w:t>NOMBRE DE MEMBRES</w:t>
      </w:r>
      <w:r w:rsidRPr="00480CA3">
        <w:rPr>
          <w:rFonts w:ascii="Times New Roman" w:eastAsia="Times New Roman" w:hAnsi="Times New Roman" w:cs="Times New Roman"/>
          <w:i/>
          <w:lang w:eastAsia="fr-FR"/>
        </w:rPr>
        <w:tab/>
      </w:r>
      <w:r w:rsidRPr="00480CA3">
        <w:rPr>
          <w:rFonts w:ascii="Times New Roman" w:eastAsia="Times New Roman" w:hAnsi="Times New Roman" w:cs="Times New Roman"/>
          <w:b/>
          <w:i/>
          <w:u w:val="single"/>
          <w:lang w:eastAsia="fr-FR"/>
        </w:rPr>
        <w:t xml:space="preserve">SEANCE DU </w:t>
      </w:r>
      <w:r>
        <w:rPr>
          <w:rFonts w:ascii="Times New Roman" w:eastAsia="Times New Roman" w:hAnsi="Times New Roman" w:cs="Times New Roman"/>
          <w:b/>
          <w:i/>
          <w:u w:val="single"/>
          <w:lang w:eastAsia="fr-FR"/>
        </w:rPr>
        <w:t>19 juillet</w:t>
      </w:r>
      <w:r w:rsidRPr="00480CA3">
        <w:rPr>
          <w:rFonts w:ascii="Times New Roman" w:eastAsia="Times New Roman" w:hAnsi="Times New Roman" w:cs="Times New Roman"/>
          <w:b/>
          <w:i/>
          <w:u w:val="single"/>
          <w:lang w:eastAsia="fr-FR"/>
        </w:rPr>
        <w:t xml:space="preserve"> 2021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4321"/>
      </w:tblGrid>
      <w:tr w:rsidR="00F9140A" w:rsidRPr="00480CA3" w14:paraId="1E41A660" w14:textId="77777777" w:rsidTr="00787F49">
        <w:trPr>
          <w:jc w:val="center"/>
        </w:trPr>
        <w:tc>
          <w:tcPr>
            <w:tcW w:w="4321" w:type="dxa"/>
          </w:tcPr>
          <w:p w14:paraId="19F22898" w14:textId="77777777" w:rsidR="00F9140A" w:rsidRPr="00480CA3" w:rsidRDefault="00F9140A" w:rsidP="00787F49">
            <w:pPr>
              <w:shd w:val="pct12" w:color="auto" w:fill="auto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En exercice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 </w:t>
            </w:r>
            <w:r w:rsidRPr="00480CA3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Présents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    </w:t>
            </w:r>
            <w:r w:rsidRPr="00480CA3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votants</w:t>
            </w:r>
          </w:p>
          <w:p w14:paraId="7A0C005E" w14:textId="77777777" w:rsidR="00F9140A" w:rsidRPr="00480CA3" w:rsidRDefault="00F9140A" w:rsidP="00787F49">
            <w:pPr>
              <w:shd w:val="pct12" w:color="auto" w:fill="auto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11                   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10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10</w:t>
            </w:r>
          </w:p>
          <w:p w14:paraId="39771C59" w14:textId="77777777" w:rsidR="00F9140A" w:rsidRPr="00480CA3" w:rsidRDefault="00F9140A" w:rsidP="00787F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Date de convocation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 :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12 juillet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2021</w:t>
            </w:r>
          </w:p>
          <w:p w14:paraId="29874219" w14:textId="77777777" w:rsidR="00F9140A" w:rsidRPr="00480CA3" w:rsidRDefault="00F9140A" w:rsidP="00787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  <w:t>Date d’affichage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 :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12 juillet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 2021 </w:t>
            </w:r>
          </w:p>
          <w:p w14:paraId="44FF82A9" w14:textId="77777777" w:rsidR="00F9140A" w:rsidRPr="00480CA3" w:rsidRDefault="00F9140A" w:rsidP="00787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</w:p>
          <w:p w14:paraId="19447579" w14:textId="77777777" w:rsidR="00F9140A" w:rsidRPr="00480CA3" w:rsidRDefault="00F9140A" w:rsidP="00787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80CA3">
              <w:rPr>
                <w:rFonts w:ascii="Times New Roman" w:eastAsia="Times New Roman" w:hAnsi="Times New Roman" w:cs="Times New Roman"/>
                <w:b/>
                <w:i/>
                <w:u w:val="single"/>
                <w:lang w:eastAsia="fr-FR"/>
              </w:rPr>
              <w:t>SECRETAIRE DE SEANCE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> :</w:t>
            </w:r>
          </w:p>
          <w:p w14:paraId="725B61E5" w14:textId="77777777" w:rsidR="00F9140A" w:rsidRPr="00480CA3" w:rsidRDefault="00F9140A" w:rsidP="00787F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>M. José AFONSO</w:t>
            </w:r>
          </w:p>
        </w:tc>
        <w:tc>
          <w:tcPr>
            <w:tcW w:w="4321" w:type="dxa"/>
          </w:tcPr>
          <w:p w14:paraId="36C77E36" w14:textId="77777777" w:rsidR="00F9140A" w:rsidRPr="00480CA3" w:rsidRDefault="00F9140A" w:rsidP="00787F49">
            <w:pPr>
              <w:shd w:val="pct12" w:color="auto" w:fill="auto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fr-FR"/>
              </w:rPr>
            </w:pP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 xml:space="preserve">L’an deux mille vingt et un, le </w:t>
            </w:r>
            <w:r>
              <w:rPr>
                <w:rFonts w:ascii="Times New Roman" w:eastAsia="Times New Roman" w:hAnsi="Times New Roman" w:cs="Times New Roman"/>
                <w:i/>
                <w:lang w:eastAsia="fr-FR"/>
              </w:rPr>
              <w:t>19 juillet</w:t>
            </w:r>
            <w:r w:rsidRPr="00480CA3">
              <w:rPr>
                <w:rFonts w:ascii="Times New Roman" w:eastAsia="Times New Roman" w:hAnsi="Times New Roman" w:cs="Times New Roman"/>
                <w:i/>
                <w:lang w:eastAsia="fr-FR"/>
              </w:rPr>
              <w:t>, à 19h00, le Conseil Municipal de OZENX-MONTESTRUCQ, régulièrement convoqué, s’est réuni à la mairie d’OZENX, en séance publique, sous la présidence Alain LENGLET , Maire .</w:t>
            </w:r>
          </w:p>
        </w:tc>
      </w:tr>
    </w:tbl>
    <w:p w14:paraId="579872A9" w14:textId="77777777" w:rsidR="00F9140A" w:rsidRPr="00480CA3" w:rsidRDefault="00F9140A" w:rsidP="00F9140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14:paraId="0E73A9AB" w14:textId="77777777" w:rsidR="00F9140A" w:rsidRPr="00480CA3" w:rsidRDefault="00F9140A" w:rsidP="00F9140A">
      <w:pPr>
        <w:spacing w:after="0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480CA3">
        <w:rPr>
          <w:rFonts w:ascii="Times New Roman" w:eastAsia="Times New Roman" w:hAnsi="Times New Roman" w:cs="Times New Roman"/>
          <w:b/>
          <w:i/>
          <w:u w:val="single"/>
          <w:lang w:eastAsia="fr-FR"/>
        </w:rPr>
        <w:t>PRÉSENTS</w:t>
      </w:r>
      <w:r w:rsidRPr="00480CA3">
        <w:rPr>
          <w:rFonts w:ascii="Times New Roman" w:eastAsia="Times New Roman" w:hAnsi="Times New Roman" w:cs="Times New Roman"/>
          <w:i/>
          <w:lang w:eastAsia="fr-FR"/>
        </w:rPr>
        <w:t> : M. Alain LENGLET, M. José AFONSO, M. Didier HOOG, M. Michel SARTHOU,       Mme Gabrielle AMESTOY, Mme Céline BELLANGER ,Mme Laetitia BELLEGARDE, Mme Marie Laure CASET ,Mme Florence SANCHEZ Mme Jeanine CAMORS</w:t>
      </w:r>
      <w:r>
        <w:rPr>
          <w:rFonts w:ascii="Times New Roman" w:eastAsia="Times New Roman" w:hAnsi="Times New Roman" w:cs="Times New Roman"/>
          <w:i/>
          <w:lang w:eastAsia="fr-FR"/>
        </w:rPr>
        <w:t>,</w:t>
      </w:r>
    </w:p>
    <w:p w14:paraId="0640CAA9" w14:textId="77777777" w:rsidR="00F9140A" w:rsidRPr="00480CA3" w:rsidRDefault="00F9140A" w:rsidP="00F9140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fr-FR"/>
        </w:rPr>
      </w:pPr>
    </w:p>
    <w:p w14:paraId="7EAB5815" w14:textId="77777777" w:rsidR="00F9140A" w:rsidRPr="00480CA3" w:rsidRDefault="00F9140A" w:rsidP="00F9140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480CA3">
        <w:rPr>
          <w:rFonts w:ascii="Times New Roman" w:eastAsia="Times New Roman" w:hAnsi="Times New Roman" w:cs="Times New Roman"/>
          <w:b/>
          <w:bCs/>
          <w:i/>
          <w:u w:val="single"/>
          <w:lang w:eastAsia="fr-FR"/>
        </w:rPr>
        <w:t>ABSENTS -</w:t>
      </w:r>
      <w:r w:rsidRPr="00480CA3">
        <w:rPr>
          <w:rFonts w:ascii="Times New Roman" w:eastAsia="Times New Roman" w:hAnsi="Times New Roman" w:cs="Times New Roman"/>
          <w:b/>
          <w:bCs/>
          <w:i/>
          <w:lang w:eastAsia="fr-FR"/>
        </w:rPr>
        <w:t> :</w:t>
      </w:r>
      <w:r w:rsidRPr="00480CA3">
        <w:rPr>
          <w:rFonts w:ascii="Times New Roman" w:eastAsia="Times New Roman" w:hAnsi="Times New Roman" w:cs="Times New Roman"/>
          <w:i/>
          <w:lang w:eastAsia="fr-FR"/>
        </w:rPr>
        <w:t xml:space="preserve"> M Vivien POUSTIS, </w:t>
      </w:r>
    </w:p>
    <w:p w14:paraId="0D1D2955" w14:textId="1B9B1ED3" w:rsidR="00F9140A" w:rsidRDefault="00F9140A"/>
    <w:p w14:paraId="28FA355C" w14:textId="5DB1992E" w:rsidR="00117CA0" w:rsidRDefault="00117CA0" w:rsidP="00117CA0">
      <w:pPr>
        <w:pStyle w:val="Paragraphedeliste"/>
        <w:numPr>
          <w:ilvl w:val="0"/>
          <w:numId w:val="5"/>
        </w:numPr>
        <w:rPr>
          <w:u w:val="single"/>
        </w:rPr>
      </w:pPr>
      <w:r w:rsidRPr="00117CA0">
        <w:rPr>
          <w:u w:val="single"/>
        </w:rPr>
        <w:t>BATIMENTS</w:t>
      </w:r>
    </w:p>
    <w:p w14:paraId="39746CC6" w14:textId="77777777" w:rsidR="009E09C0" w:rsidRDefault="009E09C0" w:rsidP="00117CA0">
      <w:pPr>
        <w:pStyle w:val="Paragraphedeliste"/>
        <w:rPr>
          <w:u w:val="single"/>
        </w:rPr>
      </w:pPr>
    </w:p>
    <w:p w14:paraId="3D2A48F7" w14:textId="77777777" w:rsidR="009E09C0" w:rsidRDefault="009E09C0" w:rsidP="009E09C0">
      <w:pPr>
        <w:pStyle w:val="Paragraphedeliste"/>
        <w:numPr>
          <w:ilvl w:val="0"/>
          <w:numId w:val="6"/>
        </w:numPr>
      </w:pPr>
      <w:r>
        <w:t>L</w:t>
      </w:r>
      <w:r w:rsidRPr="00117CA0">
        <w:t xml:space="preserve">es travaux </w:t>
      </w:r>
      <w:r>
        <w:t>de réfaction du local du cumulus endommagé par un dégât des eaux ont commencé. L’assureur GROUPAMA a transmis un chèque d’une valeur de 7331.38€.</w:t>
      </w:r>
    </w:p>
    <w:p w14:paraId="1A3E0CFD" w14:textId="04595335" w:rsidR="009E09C0" w:rsidRDefault="009E09C0" w:rsidP="009E09C0">
      <w:pPr>
        <w:pStyle w:val="Paragraphedeliste"/>
      </w:pPr>
      <w:bookmarkStart w:id="0" w:name="_Hlk78201918"/>
      <w:r>
        <w:t>Vote à l’unanimité pour l’encaissement de ce chèque.</w:t>
      </w:r>
    </w:p>
    <w:p w14:paraId="71D9C0A3" w14:textId="188C30B0" w:rsidR="00B92A77" w:rsidRDefault="00B92A77" w:rsidP="009E09C0">
      <w:pPr>
        <w:pStyle w:val="Paragraphedeliste"/>
      </w:pPr>
    </w:p>
    <w:p w14:paraId="55349731" w14:textId="243FBA4C" w:rsidR="00B92A77" w:rsidRDefault="00B92A77" w:rsidP="00B92A77">
      <w:pPr>
        <w:pStyle w:val="Paragraphedeliste"/>
        <w:numPr>
          <w:ilvl w:val="0"/>
          <w:numId w:val="6"/>
        </w:numPr>
      </w:pPr>
      <w:r>
        <w:t>La cuisinière électrique a été installée dans la cuisine de la salle des fêtes d’Ozenx.  Les tarifs de location seront revus</w:t>
      </w:r>
    </w:p>
    <w:bookmarkEnd w:id="0"/>
    <w:p w14:paraId="12C4CA23" w14:textId="77777777" w:rsidR="009E09C0" w:rsidRDefault="009E09C0" w:rsidP="009E09C0">
      <w:pPr>
        <w:pStyle w:val="Paragraphedeliste"/>
      </w:pPr>
    </w:p>
    <w:p w14:paraId="70047FB2" w14:textId="54C5315A" w:rsidR="009E09C0" w:rsidRDefault="009E09C0" w:rsidP="009E09C0">
      <w:pPr>
        <w:pStyle w:val="Paragraphedeliste"/>
        <w:numPr>
          <w:ilvl w:val="0"/>
          <w:numId w:val="6"/>
        </w:numPr>
      </w:pPr>
      <w:r>
        <w:t>Après entrevue avec le responsable de La Poste d’Orthez, la salle de Montestrucq servira pour la pause méridienne des facteurs 4 jours par semaine de 12h à 14h. Une convention de mise à disposition a été passée. Les frais de serrure</w:t>
      </w:r>
      <w:r w:rsidR="00065AA1">
        <w:t xml:space="preserve"> (228.5€)</w:t>
      </w:r>
      <w:r>
        <w:t xml:space="preserve"> seront remboursés sur la foi d’une facture .Le loyer est fixé à 300€ par an de date à date.</w:t>
      </w:r>
    </w:p>
    <w:p w14:paraId="15C084D0" w14:textId="0B68044F" w:rsidR="009E09C0" w:rsidRDefault="009E09C0" w:rsidP="00117CA0">
      <w:pPr>
        <w:pStyle w:val="Paragraphedeliste"/>
      </w:pPr>
      <w:r>
        <w:t>Vote à l’unanimité .</w:t>
      </w:r>
    </w:p>
    <w:p w14:paraId="3079FFAD" w14:textId="77777777" w:rsidR="00065AA1" w:rsidRDefault="00065AA1" w:rsidP="00117CA0">
      <w:pPr>
        <w:pStyle w:val="Paragraphedeliste"/>
      </w:pPr>
    </w:p>
    <w:p w14:paraId="0B50A886" w14:textId="2B30ED53" w:rsidR="009E09C0" w:rsidRDefault="00065AA1" w:rsidP="009E09C0">
      <w:pPr>
        <w:pStyle w:val="Paragraphedeliste"/>
        <w:numPr>
          <w:ilvl w:val="0"/>
          <w:numId w:val="6"/>
        </w:numPr>
      </w:pPr>
      <w:r>
        <w:t xml:space="preserve">Inauguration de la salle d’Ozenx et du parking : Un courrier a été envoyé à la préfecture pour connaitre les disponibilités de Monsieur le Préfet </w:t>
      </w:r>
      <w:r w:rsidR="00AA199A">
        <w:t xml:space="preserve">pour qu’il l’honore de sa présence </w:t>
      </w:r>
      <w:r>
        <w:t xml:space="preserve">en septembre ou octobre 2021.Monsieur le Maire suggère les noms de Joseph SARTHOU et Gilbert POEY pour ces deux </w:t>
      </w:r>
      <w:r w:rsidR="006C7AE4">
        <w:t>ouvrages,</w:t>
      </w:r>
      <w:r>
        <w:t xml:space="preserve"> sous réserve que les familles donnent leur accord.</w:t>
      </w:r>
    </w:p>
    <w:p w14:paraId="1C4C39BE" w14:textId="7AD9E0BE" w:rsidR="00065AA1" w:rsidRDefault="00065AA1" w:rsidP="00065AA1"/>
    <w:p w14:paraId="138FCC7E" w14:textId="48D5819F" w:rsidR="00065AA1" w:rsidRDefault="00065AA1" w:rsidP="00065AA1">
      <w:pPr>
        <w:pStyle w:val="Paragraphedeliste"/>
        <w:numPr>
          <w:ilvl w:val="0"/>
          <w:numId w:val="5"/>
        </w:numPr>
        <w:rPr>
          <w:u w:val="single"/>
        </w:rPr>
      </w:pPr>
      <w:r w:rsidRPr="00065AA1">
        <w:rPr>
          <w:u w:val="single"/>
        </w:rPr>
        <w:t>LOGEMENTS</w:t>
      </w:r>
    </w:p>
    <w:p w14:paraId="41DA8222" w14:textId="77777777" w:rsidR="00065AA1" w:rsidRDefault="00065AA1" w:rsidP="00065AA1">
      <w:pPr>
        <w:pStyle w:val="Paragraphedeliste"/>
        <w:rPr>
          <w:u w:val="single"/>
        </w:rPr>
      </w:pPr>
    </w:p>
    <w:p w14:paraId="032EC3BA" w14:textId="7014538E" w:rsidR="00065AA1" w:rsidRDefault="00065AA1" w:rsidP="00065AA1">
      <w:pPr>
        <w:pStyle w:val="Paragraphedeliste"/>
        <w:numPr>
          <w:ilvl w:val="0"/>
          <w:numId w:val="6"/>
        </w:numPr>
      </w:pPr>
      <w:r w:rsidRPr="00065AA1">
        <w:t>Logement du presbytère :</w:t>
      </w:r>
      <w:r>
        <w:t xml:space="preserve"> Après jugement du tribunal le 6 juillet 2021, celui-ci a ordonné l’expulsion des occupants. Ces locataires ont été condamnés à </w:t>
      </w:r>
      <w:r w:rsidR="006C7AE4">
        <w:t xml:space="preserve">verser à la commune 9494.93€ </w:t>
      </w:r>
      <w:r>
        <w:t xml:space="preserve"> </w:t>
      </w:r>
      <w:r w:rsidR="006C7AE4">
        <w:t xml:space="preserve"> , ainsi que la somme de 500€au titre de l’article 700 du code de procédure civile et au remboursement des dépens.</w:t>
      </w:r>
    </w:p>
    <w:p w14:paraId="0215B0B6" w14:textId="78EE87BC" w:rsidR="006C7AE4" w:rsidRDefault="006C7AE4" w:rsidP="006C7AE4">
      <w:pPr>
        <w:pStyle w:val="Paragraphedeliste"/>
      </w:pPr>
      <w:r>
        <w:t>L’assureur GROUPAMA a transmis un chèque de 513€ . Cette somme couvre les frais de l’avocat qui a assisté la commune dans ce dossier.</w:t>
      </w:r>
    </w:p>
    <w:p w14:paraId="7433AE53" w14:textId="3E8E86B5" w:rsidR="006C7AE4" w:rsidRDefault="006C7AE4" w:rsidP="006C7AE4">
      <w:pPr>
        <w:pStyle w:val="Paragraphedeliste"/>
      </w:pPr>
      <w:r>
        <w:t>Vote à l’unanimité pour l’encaissement de ce chèque.</w:t>
      </w:r>
    </w:p>
    <w:p w14:paraId="7CD29DB3" w14:textId="36F8D4F6" w:rsidR="00556D54" w:rsidRDefault="00556D54" w:rsidP="006C7AE4">
      <w:pPr>
        <w:pStyle w:val="Paragraphedeliste"/>
      </w:pPr>
    </w:p>
    <w:p w14:paraId="030EC1CE" w14:textId="682DA68B" w:rsidR="00556D54" w:rsidRDefault="00556D54" w:rsidP="006C7AE4">
      <w:pPr>
        <w:pStyle w:val="Paragraphedeliste"/>
      </w:pPr>
    </w:p>
    <w:p w14:paraId="3A5B10DE" w14:textId="77777777" w:rsidR="00556D54" w:rsidRDefault="00556D54" w:rsidP="006C7AE4">
      <w:pPr>
        <w:pStyle w:val="Paragraphedeliste"/>
      </w:pPr>
    </w:p>
    <w:p w14:paraId="212DE18E" w14:textId="77777777" w:rsidR="006C7AE4" w:rsidRDefault="006C7AE4" w:rsidP="006C7AE4">
      <w:pPr>
        <w:pStyle w:val="Paragraphedeliste"/>
      </w:pPr>
    </w:p>
    <w:p w14:paraId="615B7E7A" w14:textId="3D65323F" w:rsidR="006C7AE4" w:rsidRPr="00CA64FE" w:rsidRDefault="006C7AE4" w:rsidP="006C7AE4">
      <w:pPr>
        <w:pStyle w:val="Paragraphedeliste"/>
        <w:numPr>
          <w:ilvl w:val="0"/>
          <w:numId w:val="5"/>
        </w:numPr>
        <w:rPr>
          <w:u w:val="single"/>
        </w:rPr>
      </w:pPr>
      <w:r w:rsidRPr="00CA64FE">
        <w:rPr>
          <w:u w:val="single"/>
        </w:rPr>
        <w:t>RESEAUX</w:t>
      </w:r>
    </w:p>
    <w:p w14:paraId="6E457AB8" w14:textId="77777777" w:rsidR="006C7AE4" w:rsidRDefault="006C7AE4" w:rsidP="006C7AE4">
      <w:pPr>
        <w:pStyle w:val="Paragraphedeliste"/>
      </w:pPr>
    </w:p>
    <w:p w14:paraId="228388B8" w14:textId="4C476C53" w:rsidR="006C7AE4" w:rsidRDefault="006C7AE4" w:rsidP="006C7AE4">
      <w:pPr>
        <w:pStyle w:val="Paragraphedeliste"/>
        <w:numPr>
          <w:ilvl w:val="0"/>
          <w:numId w:val="6"/>
        </w:numPr>
      </w:pPr>
      <w:r>
        <w:t xml:space="preserve">Monsieur le Maire présente au conseil municipal la demande de certificat d’urbanisme déposée  par M VIGNASSE au niveau du </w:t>
      </w:r>
      <w:r w:rsidR="00556D54">
        <w:t>chemin</w:t>
      </w:r>
      <w:r>
        <w:t xml:space="preserve"> de DUMES . L’opération nécessitera de prévoir une </w:t>
      </w:r>
      <w:r w:rsidR="00556D54">
        <w:t>extension</w:t>
      </w:r>
      <w:r>
        <w:t xml:space="preserve"> de 95 m pour alimenter les parcelles cadastrées.</w:t>
      </w:r>
      <w:r w:rsidR="00556D54">
        <w:t xml:space="preserve"> La commune aura à sa charge 20% du montant des travaux.</w:t>
      </w:r>
    </w:p>
    <w:p w14:paraId="6B139367" w14:textId="19A6230A" w:rsidR="00556D54" w:rsidRDefault="00556D54" w:rsidP="00556D54">
      <w:pPr>
        <w:pStyle w:val="Paragraphedeliste"/>
      </w:pPr>
      <w:r>
        <w:t>Vote à l’unanimité.</w:t>
      </w:r>
    </w:p>
    <w:p w14:paraId="159AF700" w14:textId="52A2F47B" w:rsidR="00556D54" w:rsidRDefault="00556D54" w:rsidP="00556D54">
      <w:pPr>
        <w:pStyle w:val="Paragraphedeliste"/>
      </w:pPr>
    </w:p>
    <w:p w14:paraId="5089F8BC" w14:textId="1DF77966" w:rsidR="00556D54" w:rsidRDefault="00556D54" w:rsidP="00556D54">
      <w:pPr>
        <w:pStyle w:val="Paragraphedeliste"/>
        <w:numPr>
          <w:ilvl w:val="0"/>
          <w:numId w:val="6"/>
        </w:numPr>
      </w:pPr>
      <w:r>
        <w:t>D</w:t>
      </w:r>
      <w:r w:rsidR="00C27953">
        <w:t>éfense  Extérieure Contre l’Incendie : La société HEA a fait un état des lieux des dispositifs de lutte contre l’incendie présents sur la commune. Les 3 Etablissements Recevant du Public ne sont pas couverts, de même que l’église et l’école de Montestrucq. Sur 22 exploitations agricoles, 2 sont couvertes.</w:t>
      </w:r>
    </w:p>
    <w:p w14:paraId="3CB6D6A0" w14:textId="39F8F8CD" w:rsidR="00C27953" w:rsidRDefault="00C27953" w:rsidP="00C27953">
      <w:pPr>
        <w:pStyle w:val="Paragraphedeliste"/>
      </w:pPr>
      <w:r>
        <w:t>La bâche à incendie de 60m3 posée en 2019 est insuffisante elle aussi. Néanmoins, une solution existe pour sa bonne utilisation.</w:t>
      </w:r>
    </w:p>
    <w:p w14:paraId="1F6D9389" w14:textId="5DC889F0" w:rsidR="00C27953" w:rsidRDefault="00C27953" w:rsidP="00C27953">
      <w:pPr>
        <w:pStyle w:val="Paragraphedeliste"/>
      </w:pPr>
      <w:r>
        <w:t>HEA  va proposer un projet échelonné sur plusieurs années.</w:t>
      </w:r>
    </w:p>
    <w:p w14:paraId="71609ABF" w14:textId="221D7412" w:rsidR="00AA199A" w:rsidRDefault="00AA199A" w:rsidP="00C27953">
      <w:pPr>
        <w:pStyle w:val="Paragraphedeliste"/>
      </w:pPr>
    </w:p>
    <w:p w14:paraId="5EFA928E" w14:textId="72D6043F" w:rsidR="00AA199A" w:rsidRDefault="00AA199A" w:rsidP="00AA199A">
      <w:pPr>
        <w:pStyle w:val="Paragraphedeliste"/>
        <w:numPr>
          <w:ilvl w:val="0"/>
          <w:numId w:val="6"/>
        </w:numPr>
      </w:pPr>
      <w:r>
        <w:t xml:space="preserve">La FIBRE : </w:t>
      </w:r>
      <w:r w:rsidR="00B92A77">
        <w:t>En prévision de l’installation des câbles de La FIBRE, une première liste de courriers a été envoyée pour l’élagage des arbres et des branches . D’autres suivront dans le courant de l’année.</w:t>
      </w:r>
    </w:p>
    <w:p w14:paraId="5BAD466B" w14:textId="77777777" w:rsidR="00B92A77" w:rsidRDefault="00B92A77" w:rsidP="00B92A77">
      <w:pPr>
        <w:pStyle w:val="Paragraphedeliste"/>
      </w:pPr>
    </w:p>
    <w:p w14:paraId="1F9C606C" w14:textId="0DB8834F" w:rsidR="006C7AE4" w:rsidRPr="00556D54" w:rsidRDefault="00C27953" w:rsidP="00556D54">
      <w:pPr>
        <w:rPr>
          <w:u w:val="single"/>
        </w:rPr>
      </w:pPr>
      <w:r>
        <w:t xml:space="preserve">           </w:t>
      </w:r>
      <w:r w:rsidR="00556D54">
        <w:t>4</w:t>
      </w:r>
      <w:r w:rsidR="00556D54" w:rsidRPr="00556D54">
        <w:rPr>
          <w:u w:val="single"/>
        </w:rPr>
        <w:t>- FINANCES</w:t>
      </w:r>
    </w:p>
    <w:p w14:paraId="272C4000" w14:textId="2DAF70FE" w:rsidR="006C7AE4" w:rsidRDefault="00556D54" w:rsidP="00556D54">
      <w:pPr>
        <w:pStyle w:val="Paragraphedeliste"/>
        <w:numPr>
          <w:ilvl w:val="0"/>
          <w:numId w:val="6"/>
        </w:numPr>
      </w:pPr>
      <w:r>
        <w:t>La Trésorerie d’Orthez propose une admission en non-valeur du budget de la commune de 46€ , qui est du fait de Orange. Elle précise qu’elle a épuisé toutes les voies de recours amiable et contentieux. La Trésorerie rappelle que la non-valeur ne vaut pas effacement de dettes, c’est un effacement comptable.</w:t>
      </w:r>
    </w:p>
    <w:p w14:paraId="08D1E677" w14:textId="7E6F6270" w:rsidR="006C7AE4" w:rsidRDefault="00556D54" w:rsidP="006C7AE4">
      <w:pPr>
        <w:pStyle w:val="Paragraphedeliste"/>
      </w:pPr>
      <w:r>
        <w:t>Vote à l’unanimité.</w:t>
      </w:r>
    </w:p>
    <w:p w14:paraId="12205C4D" w14:textId="77777777" w:rsidR="00AA199A" w:rsidRPr="00556D54" w:rsidRDefault="00AA199A" w:rsidP="006C7AE4">
      <w:pPr>
        <w:pStyle w:val="Paragraphedeliste"/>
        <w:rPr>
          <w:u w:val="single"/>
        </w:rPr>
      </w:pPr>
    </w:p>
    <w:p w14:paraId="30BC40E6" w14:textId="1D570FFB" w:rsidR="009E09C0" w:rsidRDefault="00AA199A" w:rsidP="00AA199A">
      <w:pPr>
        <w:pStyle w:val="Paragraphedeliste"/>
        <w:numPr>
          <w:ilvl w:val="0"/>
          <w:numId w:val="6"/>
        </w:numPr>
      </w:pPr>
      <w:r>
        <w:t>Subvention aux associations : Un oubli avait été constaté dans la liste des associations bénéficiaires de la subvention communale : Association LILOU BEL ANGE .</w:t>
      </w:r>
    </w:p>
    <w:p w14:paraId="356AD120" w14:textId="2A590640" w:rsidR="00065AA1" w:rsidRDefault="00AA199A" w:rsidP="00117CA0">
      <w:pPr>
        <w:pStyle w:val="Paragraphedeliste"/>
      </w:pPr>
      <w:r>
        <w:t>Vote à l’unanimité pour un montant de 120€.</w:t>
      </w:r>
    </w:p>
    <w:p w14:paraId="34518E9B" w14:textId="7E81A1F4" w:rsidR="00AA199A" w:rsidRDefault="00AA199A" w:rsidP="00117CA0">
      <w:pPr>
        <w:pStyle w:val="Paragraphedeliste"/>
      </w:pPr>
    </w:p>
    <w:p w14:paraId="4E2EFF62" w14:textId="4E5AAED2" w:rsidR="00AA199A" w:rsidRDefault="00AA199A" w:rsidP="00AA199A">
      <w:pPr>
        <w:pStyle w:val="Paragraphedeliste"/>
        <w:numPr>
          <w:ilvl w:val="0"/>
          <w:numId w:val="6"/>
        </w:numPr>
      </w:pPr>
      <w:r>
        <w:t xml:space="preserve">Subvention aux étudiants : </w:t>
      </w:r>
      <w:r w:rsidR="00B92A77">
        <w:t>L</w:t>
      </w:r>
      <w:r>
        <w:t>es étudiants qui ont terminé leur scolarité 2020-2021 pour</w:t>
      </w:r>
      <w:r w:rsidR="00B92A77">
        <w:t>ront venir</w:t>
      </w:r>
      <w:r>
        <w:t xml:space="preserve"> s’inscrire </w:t>
      </w:r>
      <w:r w:rsidR="00B92A77">
        <w:t>auprès</w:t>
      </w:r>
      <w:r>
        <w:t xml:space="preserve"> de la mairie, pour un paiement</w:t>
      </w:r>
      <w:r w:rsidR="00B92A77">
        <w:t xml:space="preserve"> de la subvention communale</w:t>
      </w:r>
      <w:r>
        <w:t xml:space="preserve"> </w:t>
      </w:r>
      <w:r w:rsidR="00CA64FE">
        <w:t xml:space="preserve">versée </w:t>
      </w:r>
      <w:r>
        <w:t>au deuxième semestre 2021.</w:t>
      </w:r>
    </w:p>
    <w:p w14:paraId="51054699" w14:textId="2A9E7564" w:rsidR="00B92A77" w:rsidRDefault="00B92A77" w:rsidP="00B92A77">
      <w:r>
        <w:t xml:space="preserve"> </w:t>
      </w:r>
    </w:p>
    <w:p w14:paraId="1C0A4796" w14:textId="7A922F7C" w:rsidR="00B92A77" w:rsidRDefault="00B92A77" w:rsidP="00B92A77">
      <w:pPr>
        <w:rPr>
          <w:u w:val="single"/>
        </w:rPr>
      </w:pPr>
      <w:r>
        <w:t xml:space="preserve">        5</w:t>
      </w:r>
      <w:r w:rsidRPr="00603391">
        <w:rPr>
          <w:u w:val="single"/>
        </w:rPr>
        <w:t>-ASSOCIATIONS ET VIE COMMUNALE</w:t>
      </w:r>
    </w:p>
    <w:p w14:paraId="55349451" w14:textId="07202BDE" w:rsidR="00603391" w:rsidRDefault="00603391" w:rsidP="00603391">
      <w:pPr>
        <w:pStyle w:val="Paragraphedeliste"/>
        <w:numPr>
          <w:ilvl w:val="0"/>
          <w:numId w:val="6"/>
        </w:numPr>
      </w:pPr>
      <w:r w:rsidRPr="00603391">
        <w:t>Projet classification » zon</w:t>
      </w:r>
      <w:r>
        <w:t>e</w:t>
      </w:r>
      <w:r w:rsidRPr="00603391">
        <w:t xml:space="preserve"> défavorisée de montagne »</w:t>
      </w:r>
      <w:r>
        <w:t> : La commune d’Ozenx-Montestrucq s’est associée dans une démarche groupée avec d’autres communes limitrophes, dans le but d’acquérir la classification » zon</w:t>
      </w:r>
      <w:r w:rsidR="000673D8">
        <w:t>e</w:t>
      </w:r>
      <w:r>
        <w:t xml:space="preserve"> de montagne </w:t>
      </w:r>
      <w:r w:rsidR="00B55918">
        <w:t>». Le</w:t>
      </w:r>
      <w:r>
        <w:t xml:space="preserve"> député du secteur s’investit dans cette action qui permettrait aux agriculteurs de ces communes de bénéficier de moyens </w:t>
      </w:r>
      <w:r w:rsidR="000673D8">
        <w:t>supplémentaires. Il y aura une réunion d’information auprès des agriculteurs.</w:t>
      </w:r>
    </w:p>
    <w:p w14:paraId="5A11A8A8" w14:textId="08111A72" w:rsidR="00603391" w:rsidRDefault="000673D8" w:rsidP="000673D8">
      <w:pPr>
        <w:pStyle w:val="Paragraphedeliste"/>
      </w:pPr>
      <w:r>
        <w:lastRenderedPageBreak/>
        <w:t>Dans un premier temps, il faut adhérer au Service Intercommunal Territoires et Urbanisme de l’APGL et dans un deuxième temps signer la convention qui permettra la constitution du dossier.</w:t>
      </w:r>
    </w:p>
    <w:p w14:paraId="13304A2E" w14:textId="78D5C877" w:rsidR="000673D8" w:rsidRDefault="000673D8" w:rsidP="000673D8">
      <w:pPr>
        <w:pStyle w:val="Paragraphedeliste"/>
      </w:pPr>
      <w:r>
        <w:t>Ce</w:t>
      </w:r>
      <w:r w:rsidR="00B55918">
        <w:t>s 2</w:t>
      </w:r>
      <w:r>
        <w:t xml:space="preserve"> délibération</w:t>
      </w:r>
      <w:r w:rsidR="00B55918">
        <w:t>s</w:t>
      </w:r>
      <w:r>
        <w:t>, ajoutée</w:t>
      </w:r>
      <w:r w:rsidR="00B55918">
        <w:t>s</w:t>
      </w:r>
      <w:r>
        <w:t xml:space="preserve"> en début de séance </w:t>
      </w:r>
      <w:r w:rsidR="00B55918">
        <w:t>sont</w:t>
      </w:r>
      <w:r>
        <w:t xml:space="preserve"> approuvée</w:t>
      </w:r>
      <w:r w:rsidR="00B55918">
        <w:t>s</w:t>
      </w:r>
      <w:r>
        <w:t xml:space="preserve"> à l’unanimité.</w:t>
      </w:r>
    </w:p>
    <w:p w14:paraId="3C786D66" w14:textId="7309B8BE" w:rsidR="006D6C20" w:rsidRDefault="006D6C20" w:rsidP="000673D8">
      <w:pPr>
        <w:pStyle w:val="Paragraphedeliste"/>
      </w:pPr>
    </w:p>
    <w:p w14:paraId="5701574B" w14:textId="0BDD047C" w:rsidR="006D6C20" w:rsidRDefault="006D6C20" w:rsidP="006D6C20">
      <w:pPr>
        <w:pStyle w:val="Paragraphedeliste"/>
        <w:numPr>
          <w:ilvl w:val="0"/>
          <w:numId w:val="6"/>
        </w:numPr>
      </w:pPr>
      <w:r>
        <w:t>La CCLO va poser des bordures au chemin du Marges pour canaliser les eaux de ruissellement.</w:t>
      </w:r>
    </w:p>
    <w:p w14:paraId="3901BCAC" w14:textId="0CAC6404" w:rsidR="006D6C20" w:rsidRDefault="006D6C20" w:rsidP="006D6C20">
      <w:pPr>
        <w:pStyle w:val="Paragraphedeliste"/>
      </w:pPr>
    </w:p>
    <w:p w14:paraId="4C859CF5" w14:textId="3C9D29B9" w:rsidR="006D6C20" w:rsidRPr="00603391" w:rsidRDefault="006D6C20" w:rsidP="006D6C20">
      <w:pPr>
        <w:pStyle w:val="Paragraphedeliste"/>
        <w:numPr>
          <w:ilvl w:val="0"/>
          <w:numId w:val="6"/>
        </w:numPr>
      </w:pPr>
      <w:r>
        <w:t xml:space="preserve">La salle d’Ozenx est réservée tous les </w:t>
      </w:r>
      <w:r w:rsidR="00AC3C3C">
        <w:t>deuxième</w:t>
      </w:r>
      <w:r>
        <w:t xml:space="preserve"> jeudis du mois à partir de septembre de 14h à 18h à juin 2022 par l’association «  Bien Vivre Chez Nous » pour des après-midi récréatives.</w:t>
      </w:r>
    </w:p>
    <w:p w14:paraId="1094136D" w14:textId="399A8B10" w:rsidR="00603391" w:rsidRPr="006D6C20" w:rsidRDefault="00603391" w:rsidP="006D6C20">
      <w:pPr>
        <w:rPr>
          <w:u w:val="single"/>
        </w:rPr>
      </w:pPr>
      <w:r>
        <w:rPr>
          <w:u w:val="single"/>
        </w:rPr>
        <w:t xml:space="preserve"> </w:t>
      </w:r>
      <w:r w:rsidRPr="006D6C20">
        <w:rPr>
          <w:u w:val="single"/>
        </w:rPr>
        <w:t xml:space="preserve">  </w:t>
      </w:r>
    </w:p>
    <w:p w14:paraId="5AD89E12" w14:textId="64D568F5" w:rsidR="00603391" w:rsidRDefault="006D6C20" w:rsidP="00B92A77">
      <w:pPr>
        <w:rPr>
          <w:u w:val="single"/>
        </w:rPr>
      </w:pPr>
      <w:r>
        <w:rPr>
          <w:u w:val="single"/>
        </w:rPr>
        <w:t>Fin de la séance à 20h30</w:t>
      </w:r>
    </w:p>
    <w:p w14:paraId="651498F0" w14:textId="6A2860A2" w:rsidR="00603391" w:rsidRDefault="00603391" w:rsidP="006D6C20">
      <w:pPr>
        <w:pStyle w:val="Paragraphedeliste"/>
      </w:pPr>
    </w:p>
    <w:p w14:paraId="2A101AB1" w14:textId="2137F3E0" w:rsidR="006D6C20" w:rsidRPr="00E17BF6" w:rsidRDefault="006D6C20" w:rsidP="00E17BF6">
      <w:pPr>
        <w:pStyle w:val="Paragraphedeliste"/>
        <w:jc w:val="center"/>
        <w:rPr>
          <w:b/>
          <w:bCs/>
        </w:rPr>
      </w:pPr>
      <w:r w:rsidRPr="00E17BF6">
        <w:rPr>
          <w:b/>
          <w:bCs/>
        </w:rPr>
        <w:t>Liste des délibérations votées en séance</w:t>
      </w:r>
    </w:p>
    <w:p w14:paraId="7A93A2DA" w14:textId="0CDB742B" w:rsidR="006D6C20" w:rsidRDefault="006D6C20" w:rsidP="006D6C20">
      <w:pPr>
        <w:pStyle w:val="Paragraphedeliste"/>
      </w:pPr>
    </w:p>
    <w:p w14:paraId="47615DEA" w14:textId="78B27ED7" w:rsidR="003144DF" w:rsidRDefault="003144DF" w:rsidP="003144DF">
      <w:pPr>
        <w:rPr>
          <w:rFonts w:eastAsia="Times New Roman" w:cstheme="minorHAnsi"/>
          <w:i/>
          <w:color w:val="008000"/>
          <w:lang w:eastAsia="fr-FR"/>
        </w:rPr>
      </w:pPr>
      <w:r w:rsidRPr="00570542">
        <w:rPr>
          <w:b/>
          <w:bCs/>
        </w:rPr>
        <w:t>Admission en non-valeur :</w:t>
      </w:r>
      <w:r>
        <w:t xml:space="preserve"> </w:t>
      </w:r>
      <w:r w:rsidRPr="00480CA3">
        <w:rPr>
          <w:rFonts w:eastAsia="Times New Roman" w:cstheme="minorHAnsi"/>
          <w:i/>
          <w:color w:val="008000"/>
          <w:lang w:eastAsia="fr-FR"/>
        </w:rPr>
        <w:t>délibération n° 2021-</w:t>
      </w:r>
      <w:r>
        <w:rPr>
          <w:rFonts w:eastAsia="Times New Roman" w:cstheme="minorHAnsi"/>
          <w:i/>
          <w:color w:val="008000"/>
          <w:lang w:eastAsia="fr-FR"/>
        </w:rPr>
        <w:t>20</w:t>
      </w:r>
    </w:p>
    <w:p w14:paraId="68CE1968" w14:textId="77777777" w:rsidR="00705DA8" w:rsidRPr="00705DA8" w:rsidRDefault="00705DA8" w:rsidP="00705DA8">
      <w:pPr>
        <w:spacing w:after="0" w:line="240" w:lineRule="auto"/>
        <w:ind w:right="90"/>
        <w:jc w:val="both"/>
        <w:rPr>
          <w:rFonts w:eastAsia="Times New Roman" w:cstheme="minorHAnsi"/>
          <w:b/>
          <w:lang w:eastAsia="fr-FR"/>
        </w:rPr>
      </w:pPr>
      <w:r w:rsidRPr="00705DA8">
        <w:rPr>
          <w:rFonts w:eastAsia="Times New Roman" w:cstheme="minorHAnsi"/>
          <w:b/>
          <w:lang w:eastAsia="fr-FR"/>
        </w:rPr>
        <w:t xml:space="preserve">Subvention 2021 aux associations : </w:t>
      </w:r>
      <w:r w:rsidRPr="00705DA8">
        <w:rPr>
          <w:rFonts w:eastAsia="Times New Roman" w:cstheme="minorHAnsi"/>
          <w:i/>
          <w:color w:val="008000"/>
          <w:lang w:eastAsia="fr-FR"/>
        </w:rPr>
        <w:t>délibération n° 2021-21</w:t>
      </w:r>
    </w:p>
    <w:p w14:paraId="45B19554" w14:textId="77777777" w:rsidR="00705DA8" w:rsidRPr="00705DA8" w:rsidRDefault="00705DA8" w:rsidP="00705DA8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B766D71" w14:textId="77777777" w:rsidR="00E17BF6" w:rsidRDefault="00E17BF6" w:rsidP="00E17BF6">
      <w:pPr>
        <w:rPr>
          <w:color w:val="70AD47" w:themeColor="accent6"/>
        </w:rPr>
      </w:pPr>
      <w:r w:rsidRPr="00E03080">
        <w:rPr>
          <w:b/>
          <w:bCs/>
        </w:rPr>
        <w:t>Mise à disposition d’un local pour la pause méridienne des agents de La Poste</w:t>
      </w:r>
      <w:r>
        <w:rPr>
          <w:b/>
          <w:bCs/>
        </w:rPr>
        <w:t> </w:t>
      </w:r>
      <w:r w:rsidRPr="00E03080">
        <w:rPr>
          <w:color w:val="70AD47" w:themeColor="accent6"/>
        </w:rPr>
        <w:t xml:space="preserve"> délibération 2021-22</w:t>
      </w:r>
    </w:p>
    <w:p w14:paraId="2A29446D" w14:textId="68AC4393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  <w:r w:rsidRPr="00E17BF6">
        <w:rPr>
          <w:rFonts w:ascii="Times New Roman" w:eastAsia="Times New Roman" w:hAnsi="Times New Roman" w:cs="Times New Roman"/>
          <w:b/>
          <w:szCs w:val="18"/>
          <w:lang w:eastAsia="fr-FR"/>
        </w:rPr>
        <w:t>Extension de réseau</w:t>
      </w:r>
      <w:r w:rsidRPr="00E17B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: </w:t>
      </w:r>
      <w:r w:rsidRPr="00E17BF6">
        <w:rPr>
          <w:rFonts w:ascii="Times New Roman" w:eastAsia="Times New Roman" w:hAnsi="Times New Roman" w:cs="Times New Roman"/>
          <w:i/>
          <w:color w:val="008000"/>
          <w:lang w:eastAsia="fr-FR"/>
        </w:rPr>
        <w:t>délibération n° 2021-23</w:t>
      </w:r>
    </w:p>
    <w:p w14:paraId="33A93BFD" w14:textId="77777777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</w:p>
    <w:p w14:paraId="7DF6306A" w14:textId="7243B2EE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  <w:r w:rsidRPr="00E17BF6">
        <w:rPr>
          <w:rFonts w:ascii="Times New Roman" w:eastAsia="Times New Roman" w:hAnsi="Times New Roman" w:cs="Times New Roman"/>
          <w:b/>
          <w:szCs w:val="18"/>
          <w:lang w:eastAsia="fr-FR"/>
        </w:rPr>
        <w:t xml:space="preserve">Encaissement d’un chèque de sinistre </w:t>
      </w:r>
      <w:r w:rsidRPr="00E17B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: </w:t>
      </w:r>
      <w:r w:rsidRPr="00E17BF6">
        <w:rPr>
          <w:rFonts w:ascii="Times New Roman" w:eastAsia="Times New Roman" w:hAnsi="Times New Roman" w:cs="Times New Roman"/>
          <w:i/>
          <w:color w:val="008000"/>
          <w:lang w:eastAsia="fr-FR"/>
        </w:rPr>
        <w:t>délibération n° 2021-24</w:t>
      </w:r>
    </w:p>
    <w:p w14:paraId="2A3437F8" w14:textId="3053E0F6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</w:p>
    <w:p w14:paraId="42891539" w14:textId="77777777" w:rsidR="00E17BF6" w:rsidRPr="00E17BF6" w:rsidRDefault="00E17BF6" w:rsidP="00E17BF6">
      <w:pPr>
        <w:spacing w:after="0" w:line="240" w:lineRule="auto"/>
        <w:ind w:right="90"/>
        <w:jc w:val="both"/>
        <w:rPr>
          <w:rFonts w:ascii="Arial" w:eastAsia="Times New Roman" w:hAnsi="Arial" w:cs="Arial"/>
          <w:b/>
          <w:lang w:eastAsia="fr-FR"/>
        </w:rPr>
      </w:pPr>
      <w:r w:rsidRPr="00E17BF6">
        <w:rPr>
          <w:rFonts w:ascii="Times New Roman" w:eastAsia="Times New Roman" w:hAnsi="Times New Roman" w:cs="Times New Roman"/>
          <w:b/>
          <w:szCs w:val="18"/>
          <w:lang w:eastAsia="fr-FR"/>
        </w:rPr>
        <w:t xml:space="preserve">Encaissement d’un chèque de sinistre </w:t>
      </w:r>
      <w:r w:rsidRPr="00E17BF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: </w:t>
      </w:r>
      <w:r w:rsidRPr="00E17BF6">
        <w:rPr>
          <w:rFonts w:ascii="Times New Roman" w:eastAsia="Times New Roman" w:hAnsi="Times New Roman" w:cs="Times New Roman"/>
          <w:i/>
          <w:color w:val="008000"/>
          <w:lang w:eastAsia="fr-FR"/>
        </w:rPr>
        <w:t>délibération n° 2021-25</w:t>
      </w:r>
    </w:p>
    <w:p w14:paraId="1CEA1C3B" w14:textId="10F51583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</w:p>
    <w:p w14:paraId="7DB5D7A0" w14:textId="77777777" w:rsidR="00E17BF6" w:rsidRPr="004C039C" w:rsidRDefault="00E17BF6" w:rsidP="00E17BF6">
      <w:pPr>
        <w:pStyle w:val="centr"/>
        <w:jc w:val="both"/>
        <w:rPr>
          <w:color w:val="70AD47" w:themeColor="accent6"/>
          <w:sz w:val="20"/>
          <w:szCs w:val="20"/>
        </w:rPr>
      </w:pPr>
      <w:r w:rsidRPr="004C039C">
        <w:rPr>
          <w:b/>
          <w:bCs/>
          <w:sz w:val="20"/>
          <w:szCs w:val="20"/>
        </w:rPr>
        <w:t>Adhésion au Service Intercommunal Territoires et Urbanisme</w:t>
      </w:r>
      <w:r>
        <w:rPr>
          <w:b/>
          <w:bCs/>
          <w:sz w:val="20"/>
          <w:szCs w:val="20"/>
        </w:rPr>
        <w:t xml:space="preserve"> : </w:t>
      </w:r>
      <w:r w:rsidRPr="004C039C">
        <w:rPr>
          <w:color w:val="70AD47" w:themeColor="accent6"/>
          <w:sz w:val="20"/>
          <w:szCs w:val="20"/>
        </w:rPr>
        <w:t>délibération n° 2021-26</w:t>
      </w:r>
    </w:p>
    <w:p w14:paraId="2546FE16" w14:textId="4F23B8F7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</w:p>
    <w:p w14:paraId="2F8695F8" w14:textId="77777777" w:rsidR="00E17BF6" w:rsidRPr="00E17BF6" w:rsidRDefault="00E17BF6" w:rsidP="00E17BF6">
      <w:pPr>
        <w:rPr>
          <w:rFonts w:ascii="Calibri" w:eastAsia="Calibri" w:hAnsi="Calibri" w:cs="Times New Roman"/>
        </w:rPr>
      </w:pPr>
      <w:r w:rsidRPr="00E17BF6">
        <w:rPr>
          <w:rFonts w:ascii="Calibri" w:eastAsia="Calibri" w:hAnsi="Calibri" w:cs="Times New Roman"/>
          <w:b/>
          <w:bCs/>
        </w:rPr>
        <w:t>Projet classification « zone défavorisée montagne » :</w:t>
      </w:r>
      <w:r w:rsidRPr="00E17BF6">
        <w:rPr>
          <w:rFonts w:ascii="Calibri" w:eastAsia="Calibri" w:hAnsi="Calibri" w:cs="Times New Roman"/>
        </w:rPr>
        <w:t xml:space="preserve"> </w:t>
      </w:r>
      <w:r w:rsidRPr="00E17BF6">
        <w:rPr>
          <w:rFonts w:ascii="Calibri" w:eastAsia="Times New Roman" w:hAnsi="Calibri" w:cs="Calibri"/>
          <w:i/>
          <w:color w:val="008000"/>
          <w:lang w:eastAsia="fr-FR"/>
        </w:rPr>
        <w:t>délibération n° 2021-27</w:t>
      </w:r>
    </w:p>
    <w:p w14:paraId="287BC6CE" w14:textId="77777777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</w:p>
    <w:p w14:paraId="6F4FE974" w14:textId="67BBEF10" w:rsidR="00E17BF6" w:rsidRDefault="00E17BF6" w:rsidP="00E17BF6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i/>
          <w:color w:val="008000"/>
          <w:lang w:eastAsia="fr-FR"/>
        </w:rPr>
      </w:pPr>
    </w:p>
    <w:p w14:paraId="2FCF369E" w14:textId="77777777" w:rsidR="00E17BF6" w:rsidRPr="00E17BF6" w:rsidRDefault="00E17BF6" w:rsidP="00E17BF6">
      <w:pPr>
        <w:spacing w:after="0" w:line="240" w:lineRule="auto"/>
        <w:ind w:right="90"/>
        <w:jc w:val="both"/>
        <w:rPr>
          <w:rFonts w:ascii="Arial" w:eastAsia="Times New Roman" w:hAnsi="Arial" w:cs="Arial"/>
          <w:b/>
          <w:lang w:eastAsia="fr-FR"/>
        </w:rPr>
      </w:pPr>
    </w:p>
    <w:p w14:paraId="66E518D2" w14:textId="77777777" w:rsidR="00E17BF6" w:rsidRPr="00E17BF6" w:rsidRDefault="00E17BF6" w:rsidP="00E17BF6">
      <w:pPr>
        <w:spacing w:after="0" w:line="240" w:lineRule="auto"/>
        <w:ind w:right="90"/>
        <w:jc w:val="both"/>
        <w:rPr>
          <w:rFonts w:ascii="Arial" w:eastAsia="Times New Roman" w:hAnsi="Arial" w:cs="Arial"/>
          <w:b/>
          <w:lang w:eastAsia="fr-FR"/>
        </w:rPr>
      </w:pPr>
    </w:p>
    <w:p w14:paraId="72B8F71D" w14:textId="77777777" w:rsidR="00705DA8" w:rsidRDefault="00705DA8" w:rsidP="003144DF">
      <w:pPr>
        <w:rPr>
          <w:rFonts w:eastAsia="Times New Roman" w:cstheme="minorHAnsi"/>
          <w:i/>
          <w:color w:val="008000"/>
          <w:lang w:eastAsia="fr-FR"/>
        </w:rPr>
      </w:pPr>
    </w:p>
    <w:p w14:paraId="3C1556F9" w14:textId="77777777" w:rsidR="00705DA8" w:rsidRDefault="00705DA8" w:rsidP="003144DF"/>
    <w:p w14:paraId="5A04498C" w14:textId="77777777" w:rsidR="006D6C20" w:rsidRDefault="006D6C20" w:rsidP="006D6C20">
      <w:pPr>
        <w:pStyle w:val="Paragraphedeliste"/>
      </w:pPr>
    </w:p>
    <w:p w14:paraId="0D0470FD" w14:textId="77777777" w:rsidR="00AA199A" w:rsidRDefault="00AA199A" w:rsidP="00117CA0">
      <w:pPr>
        <w:pStyle w:val="Paragraphedeliste"/>
      </w:pPr>
    </w:p>
    <w:p w14:paraId="48BE0D18" w14:textId="77777777" w:rsidR="00065AA1" w:rsidRDefault="00065AA1" w:rsidP="00117CA0">
      <w:pPr>
        <w:pStyle w:val="Paragraphedeliste"/>
      </w:pPr>
    </w:p>
    <w:p w14:paraId="7DC2DF7E" w14:textId="77777777" w:rsidR="009E09C0" w:rsidRDefault="009E09C0" w:rsidP="00117CA0">
      <w:pPr>
        <w:pStyle w:val="Paragraphedeliste"/>
      </w:pPr>
    </w:p>
    <w:p w14:paraId="4C562548" w14:textId="7654C1A1" w:rsidR="009E09C0" w:rsidRDefault="009E09C0" w:rsidP="00117CA0">
      <w:pPr>
        <w:pStyle w:val="Paragraphedeliste"/>
      </w:pPr>
    </w:p>
    <w:p w14:paraId="2C953E97" w14:textId="748EFF7E" w:rsidR="009E09C0" w:rsidRDefault="009E09C0" w:rsidP="00117CA0">
      <w:pPr>
        <w:pStyle w:val="Paragraphedeliste"/>
      </w:pPr>
    </w:p>
    <w:p w14:paraId="2CEC8068" w14:textId="77777777" w:rsidR="009E09C0" w:rsidRDefault="009E09C0" w:rsidP="00117CA0">
      <w:pPr>
        <w:pStyle w:val="Paragraphedeliste"/>
      </w:pPr>
    </w:p>
    <w:p w14:paraId="1828F53C" w14:textId="77777777" w:rsidR="009E09C0" w:rsidRDefault="009E09C0" w:rsidP="00117CA0">
      <w:pPr>
        <w:pStyle w:val="Paragraphedeliste"/>
      </w:pPr>
    </w:p>
    <w:p w14:paraId="4438F7EA" w14:textId="588BA193" w:rsidR="009E09C0" w:rsidRDefault="009E09C0" w:rsidP="00117CA0">
      <w:pPr>
        <w:pStyle w:val="Paragraphedeliste"/>
      </w:pPr>
    </w:p>
    <w:p w14:paraId="7FC26EDF" w14:textId="77777777" w:rsidR="009E09C0" w:rsidRDefault="009E09C0" w:rsidP="00117CA0">
      <w:pPr>
        <w:pStyle w:val="Paragraphedeliste"/>
      </w:pPr>
    </w:p>
    <w:p w14:paraId="4EB0AC04" w14:textId="77777777" w:rsidR="00117CA0" w:rsidRPr="00117CA0" w:rsidRDefault="00117CA0" w:rsidP="00117CA0">
      <w:pPr>
        <w:pStyle w:val="Paragraphedeliste"/>
      </w:pPr>
    </w:p>
    <w:sectPr w:rsidR="00117CA0" w:rsidRPr="0011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6737"/>
    <w:multiLevelType w:val="hybridMultilevel"/>
    <w:tmpl w:val="04105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44CB"/>
    <w:multiLevelType w:val="hybridMultilevel"/>
    <w:tmpl w:val="53B6DC80"/>
    <w:lvl w:ilvl="0" w:tplc="C3A2D7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E1945"/>
    <w:multiLevelType w:val="hybridMultilevel"/>
    <w:tmpl w:val="356E2A02"/>
    <w:lvl w:ilvl="0" w:tplc="876E0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1751"/>
    <w:multiLevelType w:val="hybridMultilevel"/>
    <w:tmpl w:val="B7364716"/>
    <w:lvl w:ilvl="0" w:tplc="876E0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058"/>
    <w:multiLevelType w:val="hybridMultilevel"/>
    <w:tmpl w:val="14E272A8"/>
    <w:lvl w:ilvl="0" w:tplc="876E01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920625"/>
    <w:multiLevelType w:val="hybridMultilevel"/>
    <w:tmpl w:val="C1F6A41E"/>
    <w:lvl w:ilvl="0" w:tplc="A39AC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0A"/>
    <w:rsid w:val="00065AA1"/>
    <w:rsid w:val="000673D8"/>
    <w:rsid w:val="00117CA0"/>
    <w:rsid w:val="003144DF"/>
    <w:rsid w:val="00556D54"/>
    <w:rsid w:val="00603391"/>
    <w:rsid w:val="006C7AE4"/>
    <w:rsid w:val="006D6C20"/>
    <w:rsid w:val="00705DA8"/>
    <w:rsid w:val="009E09C0"/>
    <w:rsid w:val="00AA199A"/>
    <w:rsid w:val="00AC3C3C"/>
    <w:rsid w:val="00B55918"/>
    <w:rsid w:val="00B92A77"/>
    <w:rsid w:val="00C206A4"/>
    <w:rsid w:val="00C27953"/>
    <w:rsid w:val="00CA64FE"/>
    <w:rsid w:val="00D31CCB"/>
    <w:rsid w:val="00E17BF6"/>
    <w:rsid w:val="00F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91DA"/>
  <w15:chartTrackingRefBased/>
  <w15:docId w15:val="{D4D984F9-FAFA-462E-8D91-98E0218D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CA0"/>
    <w:pPr>
      <w:ind w:left="720"/>
      <w:contextualSpacing/>
    </w:pPr>
  </w:style>
  <w:style w:type="paragraph" w:customStyle="1" w:styleId="centr">
    <w:name w:val="§ centré"/>
    <w:basedOn w:val="Normal"/>
    <w:next w:val="Normal"/>
    <w:rsid w:val="00E17BF6"/>
    <w:pPr>
      <w:widowControl w:val="0"/>
      <w:suppressAutoHyphens/>
      <w:autoSpaceDE w:val="0"/>
      <w:spacing w:after="0" w:line="240" w:lineRule="auto"/>
      <w:jc w:val="center"/>
      <w:textAlignment w:val="baseline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9</cp:revision>
  <dcterms:created xsi:type="dcterms:W3CDTF">2021-07-26T11:51:00Z</dcterms:created>
  <dcterms:modified xsi:type="dcterms:W3CDTF">2021-09-15T15:39:00Z</dcterms:modified>
</cp:coreProperties>
</file>